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媒体智能化建设与传播力提升策略浅析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0F6972ED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新闻研究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1128字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刘锦妍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孙艳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中国石化报社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《中国石化》杂志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《中国石化》杂志文化栏目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2025年第2期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人工智能的快速发展重塑了媒体传播格局，行业媒体亟需通过优化智能化建设扩大传播力。本文以“2025年度中国行业媒体新媒体传播力”获奖企业中国石化报社智能化实践为例，系统构建了“智思—智术—智道”三位一体媒体智能化建设框架，兼具理论与实践指导性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文将习近平总书记“用主流价值导向驾驭算法”的重要论述转化为可操作的媒体转型路径。智思上，提出算法思维，以新石化APP算法推荐为例，论证了精准传播与主流舆论影响力的辩证关系；智术上，梳理AIGC在内容生产中的应用，揭示智能技术从“工具”升维为“创新灵感来源”；智道上，创造性提出算法+的双把关模式，以铀媒、清博大数据平台为例，构建数据驱动决策与主流价值导向融合治理范式，为行业媒体智能化转型提供了可复制、可推广的理论模型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文作为新闻业务研究成果，通过构建的“三维框架”既回应了习近平总书记对媒体智能化发展的嘱托，又为同行媒体破解转型提供了可行路径，是值得分析的研究案例。文中关于其行业媒体客户端算法推荐、AI工具赋能内容创新等案例，均来自真实实践，具有较强的示范性和可复制性。论文所倡导的“以数据驱动决策、以导向驾驭算法”的理念，对于解决当前智能传播中普遍存在的信息茧房、价值偏向等问题具有现实指导意义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6295" w14:textId="77777777" w:rsidR="00A3732F" w:rsidRDefault="00A3732F" w:rsidP="00AA6565">
      <w:r>
        <w:separator/>
      </w:r>
    </w:p>
  </w:endnote>
  <w:endnote w:type="continuationSeparator" w:id="0">
    <w:p w14:paraId="4BC88D4A" w14:textId="77777777" w:rsidR="00A3732F" w:rsidRDefault="00A3732F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A8F3" w14:textId="77777777" w:rsidR="00A3732F" w:rsidRDefault="00A3732F" w:rsidP="00AA6565">
      <w:r>
        <w:separator/>
      </w:r>
    </w:p>
  </w:footnote>
  <w:footnote w:type="continuationSeparator" w:id="0">
    <w:p w14:paraId="78D97030" w14:textId="77777777" w:rsidR="00A3732F" w:rsidRDefault="00A3732F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2026-05-14T03:33:00Z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